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499B5D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24475">
        <w:rPr>
          <w:rFonts w:ascii="Calibri" w:hAnsi="Calibri"/>
        </w:rPr>
        <w:t>ENAV2</w:t>
      </w:r>
      <w:r w:rsidR="00832192">
        <w:rPr>
          <w:rFonts w:ascii="Calibri" w:hAnsi="Calibri"/>
        </w:rPr>
        <w:t>6</w:t>
      </w:r>
      <w:r w:rsidRPr="007A395D">
        <w:rPr>
          <w:rFonts w:ascii="Calibri" w:hAnsi="Calibri"/>
        </w:rPr>
        <w:t>-</w:t>
      </w:r>
      <w:r w:rsidR="002B742D">
        <w:rPr>
          <w:rFonts w:ascii="Calibri" w:hAnsi="Calibri" w:hint="eastAsia"/>
          <w:lang w:eastAsia="ko-KR"/>
        </w:rPr>
        <w:t>5</w:t>
      </w:r>
      <w:r w:rsidRPr="007A395D">
        <w:rPr>
          <w:rFonts w:ascii="Calibri" w:hAnsi="Calibri"/>
        </w:rPr>
        <w:t>.</w:t>
      </w:r>
      <w:r w:rsidR="00721C85">
        <w:rPr>
          <w:rFonts w:ascii="Calibri" w:hAnsi="Calibri"/>
        </w:rPr>
        <w:t>1</w:t>
      </w:r>
      <w:r w:rsidR="00E558C3" w:rsidRPr="007A395D">
        <w:rPr>
          <w:rFonts w:ascii="Calibri" w:hAnsi="Calibri"/>
        </w:rPr>
        <w:t>.</w:t>
      </w:r>
      <w:r w:rsidR="00721C85">
        <w:rPr>
          <w:rFonts w:ascii="Calibri" w:hAnsi="Calibri"/>
        </w:rPr>
        <w:t>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476A9502" w:rsidR="0080294B" w:rsidRPr="007A395D" w:rsidRDefault="00624475"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F2AE3">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75F02B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21C85">
        <w:rPr>
          <w:rFonts w:ascii="Calibri" w:hAnsi="Calibri"/>
        </w:rPr>
        <w:t>5</w:t>
      </w:r>
      <w:r w:rsidR="0080294B" w:rsidRPr="007A395D">
        <w:rPr>
          <w:rFonts w:ascii="Calibri" w:hAnsi="Calibri"/>
        </w:rPr>
        <w:t>.</w:t>
      </w:r>
      <w:r w:rsidR="00721C85">
        <w:rPr>
          <w:rFonts w:ascii="Calibri" w:hAnsi="Calibri"/>
        </w:rPr>
        <w:t>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bookmarkStart w:id="0" w:name="_GoBack"/>
      <w:bookmarkEnd w:id="0"/>
    </w:p>
    <w:p w14:paraId="01FC5420" w14:textId="607EBEC0" w:rsidR="00362CD9" w:rsidRPr="007A395D" w:rsidRDefault="00362CD9" w:rsidP="00FE5674">
      <w:pPr>
        <w:pStyle w:val="BodyText"/>
        <w:tabs>
          <w:tab w:val="left" w:pos="2835"/>
        </w:tabs>
        <w:rPr>
          <w:rFonts w:ascii="Calibri" w:hAnsi="Calibri"/>
          <w:color w:val="FF0000"/>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138DE">
        <w:rPr>
          <w:rFonts w:ascii="Calibri" w:hAnsi="Calibri"/>
        </w:rPr>
        <w:t>Ministry of Oceans and Fisheries</w:t>
      </w:r>
      <w:r w:rsidR="00125AAF">
        <w:rPr>
          <w:rFonts w:ascii="Calibri" w:hAnsi="Calibri" w:hint="eastAsia"/>
          <w:lang w:eastAsia="ko-KR"/>
        </w:rPr>
        <w:t>, Republic of Korea</w:t>
      </w:r>
    </w:p>
    <w:p w14:paraId="60BCC120" w14:textId="77777777" w:rsidR="0080294B" w:rsidRPr="007A395D" w:rsidRDefault="0080294B" w:rsidP="00FE5674">
      <w:pPr>
        <w:pStyle w:val="BodyText"/>
        <w:tabs>
          <w:tab w:val="left" w:pos="2835"/>
        </w:tabs>
        <w:rPr>
          <w:rFonts w:ascii="Calibri" w:hAnsi="Calibri"/>
        </w:rPr>
      </w:pPr>
    </w:p>
    <w:p w14:paraId="4834080C" w14:textId="7E30296F" w:rsidR="00A446C9" w:rsidRDefault="00C32D54" w:rsidP="00A446C9">
      <w:pPr>
        <w:pStyle w:val="Title"/>
        <w:rPr>
          <w:rFonts w:ascii="Calibri" w:hAnsi="Calibri"/>
          <w:color w:val="0070C0"/>
          <w:lang w:eastAsia="ko-KR"/>
        </w:rPr>
      </w:pPr>
      <w:r>
        <w:rPr>
          <w:rFonts w:ascii="Calibri" w:hAnsi="Calibri"/>
          <w:color w:val="0070C0"/>
        </w:rPr>
        <w:t xml:space="preserve">Report of </w:t>
      </w:r>
      <w:r w:rsidR="00456AAC">
        <w:rPr>
          <w:rFonts w:ascii="Calibri" w:hAnsi="Calibri" w:hint="eastAsia"/>
          <w:color w:val="0070C0"/>
          <w:lang w:eastAsia="ko-KR"/>
        </w:rPr>
        <w:t>the e-Navigation Underway Asia-Pacific Conference 2020</w:t>
      </w:r>
    </w:p>
    <w:p w14:paraId="18B27000" w14:textId="77777777" w:rsidR="00456AAC" w:rsidRDefault="00456AAC" w:rsidP="00A446C9">
      <w:pPr>
        <w:pStyle w:val="Title"/>
        <w:rPr>
          <w:rFonts w:ascii="Calibri" w:hAnsi="Calibri"/>
          <w:color w:val="0070C0"/>
          <w:lang w:eastAsia="ko-KR"/>
        </w:rPr>
      </w:pPr>
    </w:p>
    <w:p w14:paraId="0F258596" w14:textId="50FB6E37" w:rsidR="00A446C9" w:rsidRPr="00605E43" w:rsidRDefault="00A446C9" w:rsidP="00605E43">
      <w:pPr>
        <w:pStyle w:val="Heading1"/>
      </w:pPr>
      <w:r w:rsidRPr="00605E43">
        <w:t>Summary</w:t>
      </w:r>
    </w:p>
    <w:p w14:paraId="2EC2BF6B" w14:textId="2C11E44E" w:rsidR="00C32D54" w:rsidRDefault="00C32D54" w:rsidP="00E2047F">
      <w:pPr>
        <w:spacing w:line="360" w:lineRule="auto"/>
        <w:jc w:val="both"/>
        <w:rPr>
          <w:rFonts w:ascii="Calibri" w:hAnsi="Calibri"/>
          <w:lang w:eastAsia="ko-KR"/>
        </w:rPr>
      </w:pPr>
      <w:r>
        <w:rPr>
          <w:rFonts w:ascii="Calibri" w:hAnsi="Calibri" w:hint="eastAsia"/>
          <w:lang w:eastAsia="ko-KR"/>
        </w:rPr>
        <w:t xml:space="preserve">This document </w:t>
      </w:r>
      <w:r w:rsidR="00726459">
        <w:rPr>
          <w:rFonts w:ascii="Calibri" w:hAnsi="Calibri" w:hint="eastAsia"/>
          <w:lang w:eastAsia="ko-KR"/>
        </w:rPr>
        <w:t>reports on the highlights of the fourth e-Navigation Underway Asia-</w:t>
      </w:r>
      <w:r w:rsidR="00726459" w:rsidRPr="00E2047F">
        <w:rPr>
          <w:rFonts w:asciiTheme="minorHAnsi" w:hAnsiTheme="minorHAnsi" w:cstheme="minorHAnsi"/>
          <w:lang w:eastAsia="ko-KR"/>
        </w:rPr>
        <w:t>Pacific Conference</w:t>
      </w:r>
      <w:r w:rsidR="00E2047F" w:rsidRPr="00E2047F">
        <w:rPr>
          <w:rFonts w:asciiTheme="minorHAnsi" w:hAnsiTheme="minorHAnsi" w:cstheme="minorHAnsi"/>
          <w:lang w:eastAsia="ko-KR"/>
        </w:rPr>
        <w:t xml:space="preserve"> </w:t>
      </w:r>
      <w:r w:rsidR="00E2047F">
        <w:rPr>
          <w:rFonts w:asciiTheme="minorHAnsi" w:hAnsiTheme="minorHAnsi" w:cstheme="minorHAnsi" w:hint="eastAsia"/>
          <w:lang w:eastAsia="ko-KR"/>
        </w:rPr>
        <w:t xml:space="preserve">(ENUW AP 2020) </w:t>
      </w:r>
      <w:r w:rsidR="00E2047F" w:rsidRPr="00E2047F">
        <w:rPr>
          <w:rFonts w:asciiTheme="minorHAnsi" w:hAnsiTheme="minorHAnsi" w:cstheme="minorHAnsi"/>
          <w:color w:val="010101"/>
          <w:lang w:eastAsia="ko-KR"/>
        </w:rPr>
        <w:t xml:space="preserve">was held on 8 and 9 September 2020, in Sejong City, Republic of Korea, using an online conference platform. </w:t>
      </w:r>
      <w:r w:rsidR="00E2047F">
        <w:rPr>
          <w:rFonts w:asciiTheme="minorHAnsi" w:hAnsiTheme="minorHAnsi" w:cstheme="minorHAnsi" w:hint="eastAsia"/>
          <w:color w:val="010101"/>
          <w:lang w:eastAsia="ko-KR"/>
        </w:rPr>
        <w:t xml:space="preserve"> </w:t>
      </w:r>
    </w:p>
    <w:p w14:paraId="52357DFA" w14:textId="77777777" w:rsidR="004229DB" w:rsidRPr="004229DB" w:rsidRDefault="004229DB" w:rsidP="004229DB">
      <w:pPr>
        <w:pStyle w:val="BodyText"/>
        <w:rPr>
          <w:rFonts w:ascii="Calibri" w:hAnsi="Calibri"/>
        </w:rPr>
      </w:pPr>
    </w:p>
    <w:p w14:paraId="53733F03" w14:textId="007F3D51" w:rsidR="00A446C9" w:rsidRPr="007A395D" w:rsidRDefault="004229DB" w:rsidP="00605E43">
      <w:pPr>
        <w:pStyle w:val="Heading1"/>
      </w:pPr>
      <w:r>
        <w:t>DISCUSSION</w:t>
      </w:r>
    </w:p>
    <w:p w14:paraId="4792B4E2" w14:textId="3B1A707D" w:rsidR="00E2047F" w:rsidRDefault="00E2047F" w:rsidP="00E2047F">
      <w:pPr>
        <w:pStyle w:val="a"/>
        <w:shd w:val="clear" w:color="auto" w:fill="FFFFFF"/>
        <w:spacing w:line="360" w:lineRule="auto"/>
        <w:rPr>
          <w:rFonts w:asciiTheme="minorHAnsi" w:eastAsia="Arial Unicode MS" w:hAnsiTheme="minorHAnsi" w:cstheme="minorHAnsi"/>
          <w:sz w:val="22"/>
          <w:szCs w:val="22"/>
          <w:shd w:val="clear" w:color="auto" w:fill="FFFFFF"/>
        </w:rPr>
      </w:pPr>
      <w:r w:rsidRPr="00E2047F">
        <w:rPr>
          <w:rFonts w:asciiTheme="minorHAnsi" w:hAnsiTheme="minorHAnsi" w:cstheme="minorHAnsi"/>
          <w:sz w:val="22"/>
          <w:szCs w:val="22"/>
        </w:rPr>
        <w:t>ENUW AP 2020 was organized by the Ministry of Oceans and Fisheries (MOF)</w:t>
      </w:r>
      <w:r w:rsidR="00DF2A82">
        <w:rPr>
          <w:rFonts w:asciiTheme="minorHAnsi" w:hAnsiTheme="minorHAnsi" w:cstheme="minorHAnsi" w:hint="eastAsia"/>
          <w:sz w:val="22"/>
          <w:szCs w:val="22"/>
        </w:rPr>
        <w:t xml:space="preserve"> of the Republic of Korea</w:t>
      </w:r>
      <w:r w:rsidRPr="00E2047F">
        <w:rPr>
          <w:rFonts w:asciiTheme="minorHAnsi" w:hAnsiTheme="minorHAnsi" w:cstheme="minorHAnsi"/>
          <w:sz w:val="22"/>
          <w:szCs w:val="22"/>
        </w:rPr>
        <w:t>, International Association of Marine Aids to Navigation and Lighthouse Authorities (IALA) and Danish</w:t>
      </w:r>
      <w:r>
        <w:rPr>
          <w:rFonts w:asciiTheme="minorHAnsi" w:hAnsiTheme="minorHAnsi" w:cstheme="minorHAnsi"/>
          <w:sz w:val="22"/>
          <w:szCs w:val="22"/>
        </w:rPr>
        <w:t xml:space="preserve"> Maritime Authorities (DMA)</w:t>
      </w:r>
      <w:r>
        <w:rPr>
          <w:rFonts w:asciiTheme="minorHAnsi" w:hAnsiTheme="minorHAnsi" w:cstheme="minorHAnsi" w:hint="eastAsia"/>
          <w:sz w:val="22"/>
          <w:szCs w:val="22"/>
        </w:rPr>
        <w:t xml:space="preserve">. The </w:t>
      </w:r>
      <w:r>
        <w:rPr>
          <w:rFonts w:asciiTheme="minorHAnsi" w:hAnsiTheme="minorHAnsi" w:cstheme="minorHAnsi"/>
          <w:sz w:val="22"/>
          <w:szCs w:val="22"/>
        </w:rPr>
        <w:t>conference</w:t>
      </w:r>
      <w:r>
        <w:rPr>
          <w:rFonts w:asciiTheme="minorHAnsi" w:hAnsiTheme="minorHAnsi" w:cstheme="minorHAnsi" w:hint="eastAsia"/>
          <w:sz w:val="22"/>
          <w:szCs w:val="22"/>
        </w:rPr>
        <w:t xml:space="preserve"> </w:t>
      </w:r>
      <w:r w:rsidRPr="00E2047F">
        <w:rPr>
          <w:rFonts w:asciiTheme="minorHAnsi" w:eastAsia="Arial Unicode MS" w:hAnsiTheme="minorHAnsi" w:cstheme="minorHAnsi"/>
          <w:sz w:val="22"/>
          <w:szCs w:val="22"/>
          <w:shd w:val="clear" w:color="auto" w:fill="FFFFFF"/>
        </w:rPr>
        <w:t>culminated in success with 725 participants from 50 countries under the theme of “Collaborating to Harmonize Maritime Digitalization”.</w:t>
      </w:r>
      <w:r>
        <w:rPr>
          <w:rFonts w:asciiTheme="minorHAnsi" w:eastAsia="Arial Unicode MS" w:hAnsiTheme="minorHAnsi" w:cstheme="minorHAnsi" w:hint="eastAsia"/>
          <w:sz w:val="22"/>
          <w:szCs w:val="22"/>
          <w:shd w:val="clear" w:color="auto" w:fill="FFFFFF"/>
        </w:rPr>
        <w:t xml:space="preserve"> </w:t>
      </w:r>
    </w:p>
    <w:p w14:paraId="360DD8A2" w14:textId="77777777" w:rsidR="00E2047F" w:rsidRDefault="00E2047F" w:rsidP="00E2047F">
      <w:pPr>
        <w:pStyle w:val="a"/>
        <w:shd w:val="clear" w:color="auto" w:fill="FFFFFF"/>
        <w:spacing w:line="360" w:lineRule="auto"/>
        <w:rPr>
          <w:rFonts w:asciiTheme="minorHAnsi" w:eastAsia="Arial Unicode MS" w:hAnsiTheme="minorHAnsi" w:cstheme="minorHAnsi"/>
          <w:sz w:val="22"/>
          <w:szCs w:val="22"/>
          <w:shd w:val="clear" w:color="auto" w:fill="FFFFFF"/>
        </w:rPr>
      </w:pPr>
    </w:p>
    <w:p w14:paraId="4FC1049A" w14:textId="0BDD1EFE" w:rsidR="00E2047F" w:rsidRDefault="00E2047F" w:rsidP="00E2047F">
      <w:pPr>
        <w:pStyle w:val="a"/>
        <w:shd w:val="clear" w:color="auto" w:fill="FFFFFF"/>
        <w:spacing w:line="360" w:lineRule="auto"/>
        <w:rPr>
          <w:rFonts w:asciiTheme="minorHAnsi" w:eastAsia="Arial Unicode MS" w:hAnsiTheme="minorHAnsi" w:cstheme="minorHAnsi"/>
          <w:sz w:val="22"/>
          <w:szCs w:val="22"/>
          <w:shd w:val="clear" w:color="auto" w:fill="FFFFFF"/>
        </w:rPr>
      </w:pPr>
      <w:r w:rsidRPr="00E2047F">
        <w:rPr>
          <w:rFonts w:asciiTheme="minorHAnsi" w:eastAsia="Arial Unicode MS" w:hAnsiTheme="minorHAnsi" w:cstheme="minorHAnsi"/>
          <w:sz w:val="22"/>
          <w:szCs w:val="22"/>
          <w:shd w:val="clear" w:color="auto" w:fill="FFFFFF"/>
        </w:rPr>
        <w:t xml:space="preserve">Despite the constraints in time and distance brought about by COVID-19, </w:t>
      </w:r>
      <w:r w:rsidR="00A42D3C">
        <w:rPr>
          <w:rFonts w:asciiTheme="minorHAnsi" w:eastAsia="Arial Unicode MS" w:hAnsiTheme="minorHAnsi" w:cstheme="minorHAnsi" w:hint="eastAsia"/>
          <w:sz w:val="22"/>
          <w:szCs w:val="22"/>
          <w:shd w:val="clear" w:color="auto" w:fill="FFFFFF"/>
        </w:rPr>
        <w:t>the conference</w:t>
      </w:r>
      <w:r w:rsidRPr="00E2047F">
        <w:rPr>
          <w:rFonts w:asciiTheme="minorHAnsi" w:eastAsia="Arial Unicode MS" w:hAnsiTheme="minorHAnsi" w:cstheme="minorHAnsi"/>
          <w:sz w:val="22"/>
          <w:szCs w:val="22"/>
          <w:shd w:val="clear" w:color="auto" w:fill="FFFFFF"/>
        </w:rPr>
        <w:t xml:space="preserve"> accommodated more than three times the number of participants compared to the previous year and received a great amount of attention, including 1,600 news coverage in various languages around the world. </w:t>
      </w:r>
    </w:p>
    <w:p w14:paraId="4C3CA042" w14:textId="77777777" w:rsidR="00E2047F" w:rsidRPr="00E2047F" w:rsidRDefault="00E2047F" w:rsidP="00E2047F">
      <w:pPr>
        <w:pStyle w:val="a"/>
        <w:shd w:val="clear" w:color="auto" w:fill="FFFFFF"/>
        <w:spacing w:line="360" w:lineRule="auto"/>
        <w:rPr>
          <w:rFonts w:asciiTheme="minorHAnsi" w:eastAsia="Arial Unicode MS" w:hAnsiTheme="minorHAnsi" w:cstheme="minorHAnsi"/>
          <w:sz w:val="22"/>
          <w:szCs w:val="22"/>
          <w:shd w:val="clear" w:color="auto" w:fill="FFFFFF"/>
        </w:rPr>
      </w:pPr>
    </w:p>
    <w:p w14:paraId="610C0913" w14:textId="2FDA62B5" w:rsidR="00E2047F" w:rsidRDefault="00E2047F" w:rsidP="00E2047F">
      <w:pPr>
        <w:pStyle w:val="a"/>
        <w:shd w:val="clear" w:color="auto" w:fill="FFFFFF"/>
        <w:spacing w:line="360" w:lineRule="auto"/>
        <w:rPr>
          <w:rFonts w:asciiTheme="minorHAnsi" w:eastAsia="Arial Unicode MS" w:hAnsiTheme="minorHAnsi" w:cstheme="minorHAnsi"/>
          <w:sz w:val="22"/>
          <w:szCs w:val="22"/>
          <w:shd w:val="clear" w:color="auto" w:fill="FFFFFF"/>
        </w:rPr>
      </w:pPr>
      <w:r w:rsidRPr="00E2047F">
        <w:rPr>
          <w:rFonts w:asciiTheme="minorHAnsi" w:eastAsia="Arial Unicode MS" w:hAnsiTheme="minorHAnsi" w:cstheme="minorHAnsi"/>
          <w:sz w:val="22"/>
          <w:szCs w:val="22"/>
          <w:shd w:val="clear" w:color="auto" w:fill="FFFFFF"/>
        </w:rPr>
        <w:t xml:space="preserve">This year’s conference was held in the process of advancing towards changes in the maritime digital system. </w:t>
      </w:r>
      <w:r w:rsidR="00AE5D1B">
        <w:rPr>
          <w:rFonts w:asciiTheme="minorHAnsi" w:eastAsia="Arial Unicode MS" w:hAnsiTheme="minorHAnsi" w:cstheme="minorHAnsi" w:hint="eastAsia"/>
          <w:sz w:val="22"/>
          <w:szCs w:val="22"/>
          <w:shd w:val="clear" w:color="auto" w:fill="FFFFFF"/>
        </w:rPr>
        <w:t>It</w:t>
      </w:r>
      <w:r w:rsidRPr="00E2047F">
        <w:rPr>
          <w:rFonts w:asciiTheme="minorHAnsi" w:eastAsia="Arial Unicode MS" w:hAnsiTheme="minorHAnsi" w:cstheme="minorHAnsi"/>
          <w:sz w:val="22"/>
          <w:szCs w:val="22"/>
          <w:shd w:val="clear" w:color="auto" w:fill="FFFFFF"/>
        </w:rPr>
        <w:t xml:space="preserve"> served as an important opportunity in building a consensus for international standardization and cooperation in maritime digitalization to provide a safer and more efficient shipping environment. </w:t>
      </w:r>
    </w:p>
    <w:p w14:paraId="4CDCE2E9" w14:textId="77777777" w:rsidR="00E2047F" w:rsidRPr="00E2047F" w:rsidRDefault="00E2047F" w:rsidP="00E2047F">
      <w:pPr>
        <w:pStyle w:val="a"/>
        <w:shd w:val="clear" w:color="auto" w:fill="FFFFFF"/>
        <w:spacing w:line="360" w:lineRule="auto"/>
        <w:rPr>
          <w:rFonts w:asciiTheme="minorHAnsi" w:hAnsiTheme="minorHAnsi" w:cstheme="minorHAnsi"/>
          <w:sz w:val="22"/>
          <w:szCs w:val="22"/>
        </w:rPr>
      </w:pPr>
    </w:p>
    <w:p w14:paraId="224743CC" w14:textId="77777777" w:rsidR="00E2047F" w:rsidRDefault="00E2047F" w:rsidP="00E2047F">
      <w:pPr>
        <w:pStyle w:val="a"/>
        <w:shd w:val="clear" w:color="auto" w:fill="FFFFFF"/>
        <w:spacing w:line="360" w:lineRule="auto"/>
        <w:rPr>
          <w:rFonts w:asciiTheme="minorHAnsi" w:eastAsia="Arial Unicode MS" w:hAnsiTheme="minorHAnsi" w:cstheme="minorHAnsi"/>
          <w:sz w:val="22"/>
          <w:szCs w:val="22"/>
          <w:shd w:val="clear" w:color="auto" w:fill="FFFFFF"/>
        </w:rPr>
      </w:pPr>
      <w:r w:rsidRPr="00E2047F">
        <w:rPr>
          <w:rFonts w:asciiTheme="minorHAnsi" w:eastAsia="Arial Unicode MS" w:hAnsiTheme="minorHAnsi" w:cstheme="minorHAnsi"/>
          <w:sz w:val="22"/>
          <w:szCs w:val="22"/>
          <w:shd w:val="clear" w:color="auto" w:fill="FFFFFF"/>
        </w:rPr>
        <w:lastRenderedPageBreak/>
        <w:t xml:space="preserve">As agreed at the Conference, the e-Navigation cooperation system will be switched to the </w:t>
      </w:r>
      <w:proofErr w:type="spellStart"/>
      <w:r w:rsidRPr="00E2047F">
        <w:rPr>
          <w:rFonts w:asciiTheme="minorHAnsi" w:eastAsia="Arial Unicode MS" w:hAnsiTheme="minorHAnsi" w:cstheme="minorHAnsi"/>
          <w:sz w:val="22"/>
          <w:szCs w:val="22"/>
          <w:shd w:val="clear" w:color="auto" w:fill="FFFFFF"/>
        </w:rPr>
        <w:t>Digital@Sea</w:t>
      </w:r>
      <w:proofErr w:type="spellEnd"/>
      <w:r w:rsidRPr="00E2047F">
        <w:rPr>
          <w:rFonts w:asciiTheme="minorHAnsi" w:eastAsia="Arial Unicode MS" w:hAnsiTheme="minorHAnsi" w:cstheme="minorHAnsi"/>
          <w:sz w:val="22"/>
          <w:szCs w:val="22"/>
          <w:shd w:val="clear" w:color="auto" w:fill="FFFFFF"/>
        </w:rPr>
        <w:t xml:space="preserve"> Initiative system from next year, and accordingly, the conference will be reorganized into the </w:t>
      </w:r>
      <w:proofErr w:type="spellStart"/>
      <w:r w:rsidRPr="00E2047F">
        <w:rPr>
          <w:rFonts w:asciiTheme="minorHAnsi" w:eastAsia="Arial Unicode MS" w:hAnsiTheme="minorHAnsi" w:cstheme="minorHAnsi"/>
          <w:sz w:val="22"/>
          <w:szCs w:val="22"/>
          <w:shd w:val="clear" w:color="auto" w:fill="FFFFFF"/>
        </w:rPr>
        <w:t>Digital@Sea</w:t>
      </w:r>
      <w:proofErr w:type="spellEnd"/>
      <w:r w:rsidRPr="00E2047F">
        <w:rPr>
          <w:rFonts w:asciiTheme="minorHAnsi" w:eastAsia="Arial Unicode MS" w:hAnsiTheme="minorHAnsi" w:cstheme="minorHAnsi"/>
          <w:sz w:val="22"/>
          <w:szCs w:val="22"/>
          <w:shd w:val="clear" w:color="auto" w:fill="FFFFFF"/>
        </w:rPr>
        <w:t xml:space="preserve"> Conference format. </w:t>
      </w:r>
    </w:p>
    <w:p w14:paraId="50F9E3CE" w14:textId="77777777" w:rsidR="00E2047F" w:rsidRPr="00E2047F" w:rsidRDefault="00E2047F" w:rsidP="00E2047F">
      <w:pPr>
        <w:pStyle w:val="a"/>
        <w:shd w:val="clear" w:color="auto" w:fill="FFFFFF"/>
        <w:spacing w:line="360" w:lineRule="auto"/>
        <w:rPr>
          <w:rFonts w:asciiTheme="minorHAnsi" w:hAnsiTheme="minorHAnsi" w:cstheme="minorHAnsi"/>
          <w:sz w:val="22"/>
          <w:szCs w:val="22"/>
        </w:rPr>
      </w:pPr>
    </w:p>
    <w:p w14:paraId="795AD0C9" w14:textId="67014790" w:rsidR="00C32D54" w:rsidRDefault="00C32D54" w:rsidP="00C32D54">
      <w:pPr>
        <w:pStyle w:val="BodyText"/>
        <w:rPr>
          <w:rFonts w:ascii="Calibri" w:hAnsi="Calibri"/>
        </w:rPr>
      </w:pPr>
      <w:r>
        <w:rPr>
          <w:rFonts w:ascii="Calibri" w:hAnsi="Calibri"/>
        </w:rPr>
        <w:t>The sessions for the conference were to:</w:t>
      </w:r>
    </w:p>
    <w:p w14:paraId="68737B2C" w14:textId="4A0B5E11" w:rsidR="00C32D54" w:rsidRDefault="001678C9" w:rsidP="00C32D54">
      <w:pPr>
        <w:pStyle w:val="BodyText"/>
        <w:numPr>
          <w:ilvl w:val="0"/>
          <w:numId w:val="46"/>
        </w:numPr>
        <w:rPr>
          <w:rFonts w:ascii="Calibri" w:hAnsi="Calibri"/>
        </w:rPr>
      </w:pPr>
      <w:r>
        <w:rPr>
          <w:rFonts w:ascii="Calibri" w:hAnsi="Calibri" w:hint="eastAsia"/>
          <w:lang w:eastAsia="ko-KR"/>
        </w:rPr>
        <w:t>e</w:t>
      </w:r>
      <w:r w:rsidR="00C32D54">
        <w:rPr>
          <w:rFonts w:ascii="Calibri" w:hAnsi="Calibri"/>
        </w:rPr>
        <w:t>-Navigation today and in the future</w:t>
      </w:r>
    </w:p>
    <w:p w14:paraId="31492C24" w14:textId="4E77E6BB" w:rsidR="00C32D54" w:rsidRDefault="00C32D54" w:rsidP="00C32D54">
      <w:pPr>
        <w:pStyle w:val="BodyText"/>
        <w:numPr>
          <w:ilvl w:val="0"/>
          <w:numId w:val="46"/>
        </w:numPr>
        <w:rPr>
          <w:rFonts w:ascii="Calibri" w:hAnsi="Calibri"/>
        </w:rPr>
      </w:pPr>
      <w:r>
        <w:rPr>
          <w:rFonts w:ascii="Calibri" w:hAnsi="Calibri"/>
        </w:rPr>
        <w:t>Digital maritime ser</w:t>
      </w:r>
      <w:r w:rsidR="004B1D61">
        <w:rPr>
          <w:rFonts w:ascii="Calibri" w:hAnsi="Calibri" w:hint="eastAsia"/>
          <w:lang w:eastAsia="ko-KR"/>
        </w:rPr>
        <w:t>vices</w:t>
      </w:r>
      <w:r>
        <w:rPr>
          <w:rFonts w:ascii="Calibri" w:hAnsi="Calibri"/>
        </w:rPr>
        <w:t xml:space="preserve"> and communication</w:t>
      </w:r>
      <w:r w:rsidR="004B1D61">
        <w:rPr>
          <w:rFonts w:ascii="Calibri" w:hAnsi="Calibri" w:hint="eastAsia"/>
          <w:lang w:eastAsia="ko-KR"/>
        </w:rPr>
        <w:t>s</w:t>
      </w:r>
    </w:p>
    <w:p w14:paraId="1C42EC82" w14:textId="20DCC119" w:rsidR="004B1D61" w:rsidRDefault="004B1D61" w:rsidP="00C32D54">
      <w:pPr>
        <w:pStyle w:val="BodyText"/>
        <w:numPr>
          <w:ilvl w:val="0"/>
          <w:numId w:val="46"/>
        </w:numPr>
        <w:rPr>
          <w:rFonts w:ascii="Calibri" w:hAnsi="Calibri"/>
        </w:rPr>
      </w:pPr>
      <w:r>
        <w:rPr>
          <w:rFonts w:ascii="Calibri" w:hAnsi="Calibri" w:hint="eastAsia"/>
          <w:lang w:eastAsia="ko-KR"/>
        </w:rPr>
        <w:t>MCP official showcase</w:t>
      </w:r>
    </w:p>
    <w:p w14:paraId="3C4AD02C" w14:textId="77777777" w:rsidR="00C32D54" w:rsidRDefault="00C32D54" w:rsidP="00C32D54">
      <w:pPr>
        <w:pStyle w:val="BodyText"/>
        <w:numPr>
          <w:ilvl w:val="0"/>
          <w:numId w:val="46"/>
        </w:numPr>
        <w:rPr>
          <w:rFonts w:ascii="Calibri" w:hAnsi="Calibri"/>
        </w:rPr>
      </w:pPr>
      <w:r w:rsidRPr="00C32D54">
        <w:rPr>
          <w:rFonts w:ascii="Calibri" w:hAnsi="Calibri"/>
        </w:rPr>
        <w:t>Challenges with maritime digitalization and international cooperation</w:t>
      </w:r>
    </w:p>
    <w:p w14:paraId="1DF57DA2" w14:textId="21447843" w:rsidR="00C32D54" w:rsidRPr="00C32D54" w:rsidRDefault="00C32D54" w:rsidP="00C32D54">
      <w:pPr>
        <w:pStyle w:val="BodyText"/>
        <w:numPr>
          <w:ilvl w:val="0"/>
          <w:numId w:val="46"/>
        </w:numPr>
        <w:rPr>
          <w:rFonts w:ascii="Calibri" w:hAnsi="Calibri"/>
        </w:rPr>
      </w:pPr>
      <w:proofErr w:type="spellStart"/>
      <w:r w:rsidRPr="00C32D54">
        <w:rPr>
          <w:rFonts w:ascii="Calibri" w:hAnsi="Calibri"/>
        </w:rPr>
        <w:t>Digital@Sea</w:t>
      </w:r>
      <w:proofErr w:type="spellEnd"/>
      <w:r w:rsidRPr="00C32D54">
        <w:rPr>
          <w:rFonts w:ascii="Calibri" w:hAnsi="Calibri"/>
        </w:rPr>
        <w:t xml:space="preserve"> Initiative</w:t>
      </w:r>
    </w:p>
    <w:p w14:paraId="5AC6785B" w14:textId="3AC36801" w:rsidR="00C32D54" w:rsidRDefault="00C32D54" w:rsidP="00C32D54">
      <w:pPr>
        <w:pStyle w:val="BodyText"/>
        <w:numPr>
          <w:ilvl w:val="0"/>
          <w:numId w:val="46"/>
        </w:numPr>
        <w:rPr>
          <w:rFonts w:ascii="Calibri" w:hAnsi="Calibri"/>
        </w:rPr>
      </w:pPr>
      <w:r w:rsidRPr="00C32D54">
        <w:rPr>
          <w:rFonts w:ascii="Calibri" w:hAnsi="Calibri"/>
        </w:rPr>
        <w:t>Adoption of conference highlights and closing remarks</w:t>
      </w:r>
    </w:p>
    <w:p w14:paraId="1DA5238A" w14:textId="77777777" w:rsidR="00E2047F" w:rsidRDefault="00E2047F" w:rsidP="001678C9">
      <w:pPr>
        <w:pStyle w:val="BodyText"/>
        <w:ind w:left="720"/>
        <w:rPr>
          <w:rFonts w:ascii="Calibri" w:hAnsi="Calibri"/>
        </w:rPr>
      </w:pPr>
    </w:p>
    <w:p w14:paraId="02F90320" w14:textId="412F9132" w:rsidR="00C32D54" w:rsidRDefault="004229DB" w:rsidP="00243B59">
      <w:pPr>
        <w:pStyle w:val="BodyText"/>
        <w:rPr>
          <w:rFonts w:ascii="Calibri" w:hAnsi="Calibri"/>
          <w:lang w:eastAsia="ko-KR"/>
        </w:rPr>
      </w:pPr>
      <w:r>
        <w:rPr>
          <w:rFonts w:ascii="Calibri" w:hAnsi="Calibri" w:hint="eastAsia"/>
          <w:lang w:eastAsia="ko-KR"/>
        </w:rPr>
        <w:t>T</w:t>
      </w:r>
      <w:r>
        <w:rPr>
          <w:rFonts w:ascii="Calibri" w:hAnsi="Calibri"/>
          <w:lang w:eastAsia="ko-KR"/>
        </w:rPr>
        <w:t>he highlight</w:t>
      </w:r>
      <w:r w:rsidR="002808CD">
        <w:rPr>
          <w:rFonts w:ascii="Calibri" w:hAnsi="Calibri" w:hint="eastAsia"/>
          <w:lang w:eastAsia="ko-KR"/>
        </w:rPr>
        <w:t>s</w:t>
      </w:r>
      <w:r>
        <w:rPr>
          <w:rFonts w:ascii="Calibri" w:hAnsi="Calibri"/>
          <w:lang w:eastAsia="ko-KR"/>
        </w:rPr>
        <w:t xml:space="preserve"> of this conference refer to Annex 1.</w:t>
      </w:r>
    </w:p>
    <w:p w14:paraId="7BB05367" w14:textId="77777777" w:rsidR="004229DB" w:rsidRPr="004229DB" w:rsidRDefault="004229DB" w:rsidP="00243B59">
      <w:pPr>
        <w:pStyle w:val="BodyText"/>
        <w:rPr>
          <w:rFonts w:ascii="Calibri" w:hAnsi="Calibri"/>
          <w:lang w:eastAsia="ko-KR"/>
        </w:rPr>
      </w:pPr>
    </w:p>
    <w:p w14:paraId="6731528A" w14:textId="77777777" w:rsidR="004229DB" w:rsidRPr="00CE639A" w:rsidRDefault="004229DB" w:rsidP="004229DB">
      <w:pPr>
        <w:pStyle w:val="Heading1"/>
      </w:pPr>
      <w:r w:rsidRPr="00CE639A">
        <w:t>Action requested of the Committee</w:t>
      </w:r>
    </w:p>
    <w:p w14:paraId="6A3859EA" w14:textId="025D170E" w:rsidR="004229DB" w:rsidRDefault="004229DB" w:rsidP="004229DB">
      <w:pPr>
        <w:pStyle w:val="BodyText"/>
        <w:rPr>
          <w:rFonts w:asciiTheme="minorHAnsi" w:hAnsiTheme="minorHAnsi" w:cstheme="minorHAnsi"/>
          <w:lang w:eastAsia="ko-KR"/>
        </w:rPr>
      </w:pPr>
      <w:r w:rsidRPr="00E2047F">
        <w:rPr>
          <w:rFonts w:asciiTheme="minorHAnsi" w:hAnsiTheme="minorHAnsi" w:cstheme="minorHAnsi"/>
        </w:rPr>
        <w:t xml:space="preserve">The Committee is requested to </w:t>
      </w:r>
      <w:r w:rsidR="008F2640">
        <w:rPr>
          <w:rFonts w:asciiTheme="minorHAnsi" w:hAnsiTheme="minorHAnsi" w:cstheme="minorHAnsi" w:hint="eastAsia"/>
          <w:lang w:eastAsia="ko-KR"/>
        </w:rPr>
        <w:t>take note of the information provided.</w:t>
      </w:r>
    </w:p>
    <w:p w14:paraId="7E015E76" w14:textId="77777777" w:rsidR="001678C9" w:rsidRDefault="001678C9" w:rsidP="004229DB">
      <w:pPr>
        <w:pStyle w:val="BodyText"/>
        <w:rPr>
          <w:rFonts w:asciiTheme="minorHAnsi" w:hAnsiTheme="minorHAnsi" w:cstheme="minorHAnsi"/>
          <w:lang w:eastAsia="ko-KR"/>
        </w:rPr>
      </w:pPr>
    </w:p>
    <w:p w14:paraId="1591C291" w14:textId="77777777" w:rsidR="001678C9" w:rsidRDefault="001678C9" w:rsidP="004229DB">
      <w:pPr>
        <w:pStyle w:val="BodyText"/>
        <w:rPr>
          <w:rFonts w:asciiTheme="minorHAnsi" w:hAnsiTheme="minorHAnsi" w:cstheme="minorHAnsi"/>
          <w:lang w:eastAsia="ko-KR"/>
        </w:rPr>
      </w:pPr>
    </w:p>
    <w:p w14:paraId="2A07F63E" w14:textId="0E7E6226" w:rsidR="001678C9" w:rsidRDefault="001678C9">
      <w:pPr>
        <w:rPr>
          <w:rFonts w:asciiTheme="minorHAnsi" w:hAnsiTheme="minorHAnsi" w:cstheme="minorHAnsi"/>
          <w:lang w:eastAsia="ko-KR"/>
        </w:rPr>
      </w:pPr>
      <w:r>
        <w:rPr>
          <w:rFonts w:asciiTheme="minorHAnsi" w:hAnsiTheme="minorHAnsi" w:cstheme="minorHAnsi"/>
          <w:lang w:eastAsia="ko-KR"/>
        </w:rPr>
        <w:br w:type="page"/>
      </w:r>
    </w:p>
    <w:p w14:paraId="4CA88F55" w14:textId="51CE2BDD" w:rsidR="001678C9" w:rsidRDefault="001678C9" w:rsidP="001678C9">
      <w:pPr>
        <w:pStyle w:val="Annex"/>
        <w:numPr>
          <w:ilvl w:val="0"/>
          <w:numId w:val="0"/>
        </w:numPr>
        <w:rPr>
          <w:lang w:eastAsia="ko-KR"/>
        </w:rPr>
      </w:pPr>
      <w:r>
        <w:rPr>
          <w:rFonts w:hint="eastAsia"/>
          <w:lang w:eastAsia="ko-KR"/>
        </w:rPr>
        <w:lastRenderedPageBreak/>
        <w:t>ANNex 1</w:t>
      </w:r>
    </w:p>
    <w:p w14:paraId="4011F6FE" w14:textId="77777777" w:rsidR="001678C9" w:rsidRPr="001678C9" w:rsidRDefault="001678C9" w:rsidP="001678C9">
      <w:pPr>
        <w:rPr>
          <w:lang w:eastAsia="ko-KR"/>
        </w:rPr>
      </w:pPr>
    </w:p>
    <w:p w14:paraId="5A4E92D1" w14:textId="77777777" w:rsidR="001678C9" w:rsidRPr="001678C9" w:rsidRDefault="001678C9" w:rsidP="001678C9">
      <w:pPr>
        <w:spacing w:line="360" w:lineRule="auto"/>
        <w:jc w:val="center"/>
        <w:rPr>
          <w:rFonts w:asciiTheme="minorHAnsi" w:hAnsiTheme="minorHAnsi" w:cstheme="minorHAnsi"/>
          <w:b/>
          <w:color w:val="010101"/>
          <w:sz w:val="24"/>
          <w:lang w:eastAsia="ko-KR"/>
        </w:rPr>
      </w:pPr>
      <w:r w:rsidRPr="001678C9">
        <w:rPr>
          <w:rFonts w:asciiTheme="minorHAnsi" w:hAnsiTheme="minorHAnsi" w:cstheme="minorHAnsi"/>
          <w:b/>
          <w:color w:val="010101"/>
          <w:sz w:val="24"/>
          <w:lang w:eastAsia="ko-KR"/>
        </w:rPr>
        <w:t xml:space="preserve">Highlights of the e-Navigation Underway Asia-Pacific 2020 Conference </w:t>
      </w:r>
    </w:p>
    <w:p w14:paraId="13634E0B" w14:textId="77777777" w:rsidR="001678C9" w:rsidRPr="001678C9" w:rsidRDefault="001678C9" w:rsidP="001678C9">
      <w:pPr>
        <w:spacing w:line="360" w:lineRule="auto"/>
        <w:jc w:val="center"/>
        <w:rPr>
          <w:rFonts w:asciiTheme="minorHAnsi" w:hAnsiTheme="minorHAnsi" w:cstheme="minorHAnsi"/>
          <w:b/>
          <w:color w:val="010101"/>
          <w:lang w:eastAsia="ko-KR"/>
        </w:rPr>
      </w:pPr>
    </w:p>
    <w:p w14:paraId="63B5C7F9" w14:textId="77777777" w:rsidR="001678C9" w:rsidRPr="001678C9" w:rsidRDefault="001678C9" w:rsidP="001678C9">
      <w:pPr>
        <w:spacing w:line="360" w:lineRule="auto"/>
        <w:jc w:val="both"/>
        <w:rPr>
          <w:rFonts w:asciiTheme="minorHAnsi" w:hAnsiTheme="minorHAnsi" w:cstheme="minorHAnsi"/>
          <w:b/>
          <w:color w:val="010101"/>
          <w:lang w:eastAsia="ko-KR"/>
        </w:rPr>
      </w:pPr>
    </w:p>
    <w:p w14:paraId="4FC57C57" w14:textId="77777777" w:rsidR="001678C9" w:rsidRPr="001678C9" w:rsidRDefault="001678C9" w:rsidP="001678C9">
      <w:pPr>
        <w:spacing w:line="360" w:lineRule="auto"/>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The fourth e-Navigation Underway Asia-Pacific Conference was held on 8 and 9 September 2020, in Sejong City, Republic of Korea, using an online conference platform. </w:t>
      </w:r>
    </w:p>
    <w:p w14:paraId="663FEA1F" w14:textId="77777777" w:rsidR="001678C9" w:rsidRPr="001678C9" w:rsidRDefault="001678C9" w:rsidP="001678C9">
      <w:pPr>
        <w:spacing w:line="360" w:lineRule="auto"/>
        <w:jc w:val="both"/>
        <w:rPr>
          <w:rFonts w:asciiTheme="minorHAnsi" w:hAnsiTheme="minorHAnsi" w:cstheme="minorHAnsi"/>
          <w:color w:val="010101"/>
          <w:lang w:eastAsia="ko-KR"/>
        </w:rPr>
      </w:pPr>
    </w:p>
    <w:p w14:paraId="3D05A345" w14:textId="77777777" w:rsidR="001678C9" w:rsidRPr="001678C9" w:rsidRDefault="001678C9" w:rsidP="001678C9">
      <w:pPr>
        <w:spacing w:line="360" w:lineRule="auto"/>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The highlights of the conference were:  </w:t>
      </w:r>
    </w:p>
    <w:p w14:paraId="1C555926" w14:textId="77777777" w:rsidR="001678C9" w:rsidRPr="001678C9" w:rsidRDefault="001678C9" w:rsidP="001678C9">
      <w:pPr>
        <w:spacing w:line="360" w:lineRule="auto"/>
        <w:jc w:val="both"/>
        <w:rPr>
          <w:rFonts w:asciiTheme="minorHAnsi" w:hAnsiTheme="minorHAnsi" w:cstheme="minorHAnsi"/>
          <w:color w:val="010101"/>
          <w:lang w:eastAsia="ko-KR"/>
        </w:rPr>
      </w:pPr>
    </w:p>
    <w:p w14:paraId="1149BA6F" w14:textId="77777777" w:rsidR="001678C9" w:rsidRPr="001678C9" w:rsidRDefault="001678C9" w:rsidP="001678C9">
      <w:pPr>
        <w:spacing w:line="360" w:lineRule="auto"/>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1. Some 700 participants, from more than 50 countries, registered and participated in the online conference. Sixteen world-renowned e-navigation experts presented on a variety of topics under the conference theme - </w:t>
      </w:r>
      <w:r w:rsidRPr="001678C9">
        <w:rPr>
          <w:rFonts w:asciiTheme="minorHAnsi" w:hAnsiTheme="minorHAnsi" w:cstheme="minorHAnsi"/>
          <w:i/>
          <w:color w:val="010101"/>
          <w:lang w:eastAsia="ko-KR"/>
        </w:rPr>
        <w:t>Collaborating to Harmonize Maritime Digitization</w:t>
      </w:r>
      <w:r w:rsidRPr="001678C9">
        <w:rPr>
          <w:rFonts w:asciiTheme="minorHAnsi" w:hAnsiTheme="minorHAnsi" w:cstheme="minorHAnsi"/>
          <w:color w:val="010101"/>
          <w:lang w:eastAsia="ko-KR"/>
        </w:rPr>
        <w:t xml:space="preserve">.  </w:t>
      </w:r>
    </w:p>
    <w:p w14:paraId="5481ED92" w14:textId="77777777" w:rsidR="001678C9" w:rsidRPr="001678C9" w:rsidRDefault="001678C9" w:rsidP="001678C9">
      <w:pPr>
        <w:spacing w:line="360" w:lineRule="auto"/>
        <w:jc w:val="both"/>
        <w:rPr>
          <w:rFonts w:asciiTheme="minorHAnsi" w:hAnsiTheme="minorHAnsi" w:cstheme="minorHAnsi"/>
          <w:color w:val="010101"/>
          <w:lang w:eastAsia="ko-KR"/>
        </w:rPr>
      </w:pPr>
    </w:p>
    <w:p w14:paraId="1783CB30" w14:textId="77777777" w:rsidR="001678C9" w:rsidRPr="001678C9" w:rsidRDefault="001678C9" w:rsidP="001678C9">
      <w:pPr>
        <w:spacing w:line="360" w:lineRule="auto"/>
        <w:jc w:val="both"/>
        <w:rPr>
          <w:rFonts w:asciiTheme="minorHAnsi" w:hAnsiTheme="minorHAnsi" w:cstheme="minorHAnsi"/>
          <w:color w:val="010101"/>
          <w:lang w:eastAsia="ko-KR"/>
        </w:rPr>
      </w:pPr>
      <w:r w:rsidRPr="001678C9">
        <w:rPr>
          <w:rFonts w:asciiTheme="minorHAnsi" w:hAnsiTheme="minorHAnsi" w:cstheme="minorHAnsi"/>
          <w:color w:val="010101"/>
          <w:lang w:eastAsia="ko-KR"/>
        </w:rPr>
        <w:t>2. The conference discussed examples of the implementation of e-Navigation services and noted plans for their future development. Delegates also considered the opportunities and challenges associated with adopting cutting-edge technologies, such as block chain, digital maritime communications frameworks, automation on board and marine autonomous surface ships.</w:t>
      </w:r>
    </w:p>
    <w:p w14:paraId="3616BF6A" w14:textId="77777777" w:rsidR="001678C9" w:rsidRPr="001678C9" w:rsidRDefault="001678C9" w:rsidP="001678C9">
      <w:pPr>
        <w:spacing w:line="360" w:lineRule="auto"/>
        <w:jc w:val="both"/>
        <w:rPr>
          <w:rFonts w:asciiTheme="minorHAnsi" w:hAnsiTheme="minorHAnsi" w:cstheme="minorHAnsi"/>
          <w:color w:val="010101"/>
          <w:lang w:eastAsia="ko-KR"/>
        </w:rPr>
      </w:pPr>
    </w:p>
    <w:p w14:paraId="21BA0A38"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r w:rsidRPr="001678C9">
        <w:rPr>
          <w:rFonts w:asciiTheme="minorHAnsi" w:hAnsiTheme="minorHAnsi" w:cstheme="minorHAnsi"/>
          <w:color w:val="010101"/>
          <w:lang w:eastAsia="ko-KR"/>
        </w:rPr>
        <w:t>2.1. The conference recognised the necessity to build a digital ecosystem for making global standardization and collaboration of maritime digitalization, to secure more sustainable, efficient and safe for all stakeholders.</w:t>
      </w:r>
    </w:p>
    <w:p w14:paraId="7926CF78"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 </w:t>
      </w:r>
    </w:p>
    <w:p w14:paraId="60F23996"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r w:rsidRPr="001678C9">
        <w:rPr>
          <w:rFonts w:asciiTheme="minorHAnsi" w:hAnsiTheme="minorHAnsi" w:cstheme="minorHAnsi"/>
          <w:color w:val="010101"/>
          <w:lang w:eastAsia="ko-KR"/>
        </w:rPr>
        <w:t>2.2. There was a strong emphasis on international cooperation, which delegates considered necessary to achieve harmonisation and enhance safety. Testbeds and sea trials were recognised as key elements to introduce and promote e-Navigation services.</w:t>
      </w:r>
    </w:p>
    <w:p w14:paraId="4798073C"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p>
    <w:p w14:paraId="2E5A572C"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2.3. The conference recognised that any new technologies should align with IMO’s vision and the importance of IHO’s S-100 standards for e-Navigation.  They should be implemented based on a judicious mix of goal-based and prescriptive rules. </w:t>
      </w:r>
    </w:p>
    <w:p w14:paraId="5ACF0CAC"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p>
    <w:p w14:paraId="54260C95"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r w:rsidRPr="001678C9">
        <w:rPr>
          <w:rFonts w:asciiTheme="minorHAnsi" w:hAnsiTheme="minorHAnsi" w:cstheme="minorHAnsi"/>
          <w:color w:val="010101"/>
          <w:lang w:eastAsia="ko-KR"/>
        </w:rPr>
        <w:t>2.4. The conference recognised that further collaboration is necessary, and that national and international projects should exploit the progress made by IMO related to the common maritime reference data model when developing various solutions for global shipping.</w:t>
      </w:r>
    </w:p>
    <w:p w14:paraId="52BD91C2"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p>
    <w:p w14:paraId="4D8DB351" w14:textId="77777777" w:rsidR="001678C9" w:rsidRPr="001678C9" w:rsidRDefault="001678C9" w:rsidP="001678C9">
      <w:pPr>
        <w:spacing w:line="360" w:lineRule="auto"/>
        <w:ind w:leftChars="193" w:left="425"/>
        <w:jc w:val="both"/>
        <w:rPr>
          <w:rFonts w:asciiTheme="minorHAnsi" w:hAnsiTheme="minorHAnsi" w:cstheme="minorHAnsi"/>
          <w:color w:val="010101"/>
          <w:lang w:eastAsia="ko-KR"/>
        </w:rPr>
      </w:pPr>
      <w:r w:rsidRPr="001678C9">
        <w:rPr>
          <w:rFonts w:asciiTheme="minorHAnsi" w:hAnsiTheme="minorHAnsi" w:cstheme="minorHAnsi"/>
          <w:color w:val="010101"/>
          <w:lang w:eastAsia="ko-KR"/>
        </w:rPr>
        <w:lastRenderedPageBreak/>
        <w:t xml:space="preserve">2.5. The conference agreed, that international standards developed by robust standardization bodies are necessary to avoid incompatibility between standards and systems. </w:t>
      </w:r>
    </w:p>
    <w:p w14:paraId="5024FD39" w14:textId="77777777" w:rsidR="001678C9" w:rsidRPr="001678C9" w:rsidRDefault="001678C9" w:rsidP="001678C9">
      <w:pPr>
        <w:spacing w:line="360" w:lineRule="auto"/>
        <w:jc w:val="both"/>
        <w:rPr>
          <w:rFonts w:asciiTheme="minorHAnsi" w:hAnsiTheme="minorHAnsi" w:cstheme="minorHAnsi"/>
          <w:color w:val="010101"/>
          <w:lang w:eastAsia="ko-KR"/>
        </w:rPr>
      </w:pPr>
    </w:p>
    <w:p w14:paraId="36134288" w14:textId="77777777" w:rsidR="001678C9" w:rsidRPr="001678C9" w:rsidRDefault="001678C9" w:rsidP="001678C9">
      <w:pPr>
        <w:spacing w:line="360" w:lineRule="auto"/>
        <w:jc w:val="both"/>
        <w:rPr>
          <w:rFonts w:asciiTheme="minorHAnsi" w:hAnsiTheme="minorHAnsi" w:cstheme="minorHAnsi"/>
          <w:color w:val="010101"/>
          <w:lang w:eastAsia="ko-KR"/>
        </w:rPr>
      </w:pPr>
      <w:r w:rsidRPr="001678C9">
        <w:rPr>
          <w:rFonts w:asciiTheme="minorHAnsi" w:hAnsiTheme="minorHAnsi" w:cstheme="minorHAnsi"/>
          <w:color w:val="010101"/>
          <w:lang w:eastAsia="ko-KR"/>
        </w:rPr>
        <w:t>3. The conference noted the decision to expand the scope of international cooperation (using the current series of e-Navigation underway conferences) to include some new initiatives:</w:t>
      </w:r>
    </w:p>
    <w:p w14:paraId="1BEC388B" w14:textId="77777777" w:rsidR="001678C9" w:rsidRPr="001678C9" w:rsidRDefault="001678C9" w:rsidP="001678C9">
      <w:pPr>
        <w:spacing w:line="360" w:lineRule="auto"/>
        <w:jc w:val="both"/>
        <w:rPr>
          <w:rFonts w:asciiTheme="minorHAnsi" w:hAnsiTheme="minorHAnsi" w:cstheme="minorHAnsi"/>
          <w:color w:val="010101"/>
          <w:lang w:eastAsia="ko-KR"/>
        </w:rPr>
      </w:pPr>
    </w:p>
    <w:p w14:paraId="5041FDDE" w14:textId="77777777" w:rsidR="001678C9" w:rsidRPr="001678C9" w:rsidRDefault="001678C9" w:rsidP="001678C9">
      <w:pPr>
        <w:spacing w:line="360" w:lineRule="auto"/>
        <w:ind w:left="426"/>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3.1. The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Initiative, which consists of a series of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international conferences with the possibility of global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test bed cooperation and capacity building workshops;</w:t>
      </w:r>
    </w:p>
    <w:p w14:paraId="0EB51188" w14:textId="77777777" w:rsidR="001678C9" w:rsidRPr="001678C9" w:rsidRDefault="001678C9" w:rsidP="001678C9">
      <w:pPr>
        <w:spacing w:line="360" w:lineRule="auto"/>
        <w:ind w:left="426"/>
        <w:jc w:val="both"/>
        <w:rPr>
          <w:rFonts w:asciiTheme="minorHAnsi" w:hAnsiTheme="minorHAnsi" w:cstheme="minorHAnsi"/>
          <w:color w:val="010101"/>
          <w:lang w:eastAsia="ko-KR"/>
        </w:rPr>
      </w:pPr>
    </w:p>
    <w:p w14:paraId="536E46C0" w14:textId="77777777" w:rsidR="001678C9" w:rsidRPr="001678C9" w:rsidRDefault="001678C9" w:rsidP="001678C9">
      <w:pPr>
        <w:spacing w:line="360" w:lineRule="auto"/>
        <w:ind w:left="426"/>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3.2. The series of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conferences will replace the current series of e-Navigation underway conferences from 2021 including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International,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North-America, and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Asia-Pacific;</w:t>
      </w:r>
    </w:p>
    <w:p w14:paraId="489D245E" w14:textId="77777777" w:rsidR="001678C9" w:rsidRPr="001678C9" w:rsidRDefault="001678C9" w:rsidP="001678C9">
      <w:pPr>
        <w:spacing w:line="360" w:lineRule="auto"/>
        <w:ind w:left="426"/>
        <w:jc w:val="both"/>
        <w:rPr>
          <w:rFonts w:asciiTheme="minorHAnsi" w:hAnsiTheme="minorHAnsi" w:cstheme="minorHAnsi"/>
          <w:color w:val="010101"/>
          <w:lang w:eastAsia="ko-KR"/>
        </w:rPr>
      </w:pPr>
    </w:p>
    <w:p w14:paraId="4F890436" w14:textId="77777777" w:rsidR="001678C9" w:rsidRPr="001678C9" w:rsidRDefault="001678C9" w:rsidP="001678C9">
      <w:pPr>
        <w:spacing w:line="360" w:lineRule="auto"/>
        <w:ind w:left="426"/>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3.3. Establishing a multilateral MOU to facilitate and secure the effectiveness of testbed activities, which contribute to international harmonization, standardization, verification and validation of maritime digital technology using testbeds and sea trials. In connection, as the first collaborative testbed, MOF proposed to carry out the Global e-Navigation Route Testbed to bring actual benefits and effectiveness of e-Navigation to all stakeholders; </w:t>
      </w:r>
    </w:p>
    <w:p w14:paraId="56737231" w14:textId="77777777" w:rsidR="001678C9" w:rsidRPr="001678C9" w:rsidRDefault="001678C9" w:rsidP="001678C9">
      <w:pPr>
        <w:spacing w:line="360" w:lineRule="auto"/>
        <w:ind w:left="426"/>
        <w:jc w:val="both"/>
        <w:rPr>
          <w:rFonts w:asciiTheme="minorHAnsi" w:hAnsiTheme="minorHAnsi" w:cstheme="minorHAnsi"/>
          <w:color w:val="010101"/>
          <w:lang w:eastAsia="ko-KR"/>
        </w:rPr>
      </w:pPr>
    </w:p>
    <w:p w14:paraId="25F0B531" w14:textId="77777777" w:rsidR="001678C9" w:rsidRPr="001678C9" w:rsidRDefault="001678C9" w:rsidP="001678C9">
      <w:pPr>
        <w:spacing w:line="360" w:lineRule="auto"/>
        <w:ind w:left="426"/>
        <w:jc w:val="both"/>
        <w:rPr>
          <w:rFonts w:asciiTheme="minorHAnsi" w:hAnsiTheme="minorHAnsi" w:cstheme="minorHAnsi"/>
          <w:color w:val="010101"/>
          <w:lang w:eastAsia="ko-KR"/>
        </w:rPr>
      </w:pPr>
      <w:r w:rsidRPr="001678C9">
        <w:rPr>
          <w:rFonts w:asciiTheme="minorHAnsi" w:hAnsiTheme="minorHAnsi" w:cstheme="minorHAnsi"/>
          <w:color w:val="010101"/>
          <w:lang w:eastAsia="ko-KR"/>
        </w:rPr>
        <w:t>3.4. Capacity building workshops as technology cooperation programmes for the sake of building capacity in developing countries, so maritime digital technology can be promoted to share growth among advanced and developing countries;</w:t>
      </w:r>
    </w:p>
    <w:p w14:paraId="1E63E827" w14:textId="77777777" w:rsidR="001678C9" w:rsidRPr="001678C9" w:rsidRDefault="001678C9" w:rsidP="001678C9">
      <w:pPr>
        <w:spacing w:line="360" w:lineRule="auto"/>
        <w:ind w:left="426"/>
        <w:jc w:val="both"/>
        <w:rPr>
          <w:rFonts w:asciiTheme="minorHAnsi" w:hAnsiTheme="minorHAnsi" w:cstheme="minorHAnsi"/>
          <w:color w:val="010101"/>
          <w:lang w:eastAsia="ko-KR"/>
        </w:rPr>
      </w:pPr>
    </w:p>
    <w:p w14:paraId="79CDE15A" w14:textId="77777777" w:rsidR="001678C9" w:rsidRPr="001678C9" w:rsidRDefault="001678C9" w:rsidP="001678C9">
      <w:pPr>
        <w:spacing w:line="360" w:lineRule="auto"/>
        <w:ind w:left="426"/>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3.5. As the coordinator, IALA promotes and supports the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Initiative. </w:t>
      </w:r>
    </w:p>
    <w:p w14:paraId="6A4B3AF2" w14:textId="77777777" w:rsidR="001678C9" w:rsidRPr="001678C9" w:rsidRDefault="001678C9" w:rsidP="001678C9">
      <w:pPr>
        <w:spacing w:line="360" w:lineRule="auto"/>
        <w:jc w:val="both"/>
        <w:rPr>
          <w:rFonts w:asciiTheme="minorHAnsi" w:hAnsiTheme="minorHAnsi" w:cstheme="minorHAnsi"/>
          <w:color w:val="010101"/>
          <w:lang w:eastAsia="ko-KR"/>
        </w:rPr>
      </w:pPr>
    </w:p>
    <w:p w14:paraId="63213C7D" w14:textId="77777777" w:rsidR="001678C9" w:rsidRPr="001678C9" w:rsidRDefault="001678C9" w:rsidP="001678C9">
      <w:pPr>
        <w:spacing w:line="360" w:lineRule="auto"/>
        <w:jc w:val="both"/>
        <w:rPr>
          <w:rFonts w:asciiTheme="minorHAnsi" w:hAnsiTheme="minorHAnsi" w:cstheme="minorHAnsi"/>
          <w:color w:val="010101"/>
          <w:lang w:eastAsia="ko-KR"/>
        </w:rPr>
      </w:pPr>
      <w:r w:rsidRPr="001678C9">
        <w:rPr>
          <w:rFonts w:asciiTheme="minorHAnsi" w:hAnsiTheme="minorHAnsi" w:cstheme="minorHAnsi"/>
          <w:color w:val="010101"/>
          <w:lang w:eastAsia="ko-KR"/>
        </w:rPr>
        <w:t>4. Two instances of the Maritime Connectivity Platform (MCP) were showcased during the conference. It was evident the MCP framework is a sound platform for the delivery of maritime services in the context of e-navigation.</w:t>
      </w:r>
    </w:p>
    <w:p w14:paraId="0D1A7ACE" w14:textId="77777777" w:rsidR="001678C9" w:rsidRPr="001678C9" w:rsidRDefault="001678C9" w:rsidP="001678C9">
      <w:pPr>
        <w:spacing w:line="360" w:lineRule="auto"/>
        <w:jc w:val="both"/>
        <w:rPr>
          <w:rFonts w:asciiTheme="minorHAnsi" w:hAnsiTheme="minorHAnsi" w:cstheme="minorHAnsi"/>
          <w:color w:val="010101"/>
          <w:lang w:eastAsia="ko-KR"/>
        </w:rPr>
      </w:pPr>
    </w:p>
    <w:p w14:paraId="4BE5D9D2" w14:textId="77777777" w:rsidR="001678C9" w:rsidRPr="001678C9" w:rsidRDefault="001678C9" w:rsidP="001678C9">
      <w:pPr>
        <w:spacing w:line="360" w:lineRule="auto"/>
        <w:jc w:val="both"/>
        <w:rPr>
          <w:rFonts w:asciiTheme="minorHAnsi" w:hAnsiTheme="minorHAnsi" w:cstheme="minorHAnsi"/>
          <w:color w:val="010101"/>
          <w:lang w:eastAsia="ko-KR"/>
        </w:rPr>
      </w:pPr>
      <w:r w:rsidRPr="001678C9">
        <w:rPr>
          <w:rFonts w:asciiTheme="minorHAnsi" w:hAnsiTheme="minorHAnsi" w:cstheme="minorHAnsi"/>
          <w:color w:val="010101"/>
          <w:lang w:eastAsia="ko-KR"/>
        </w:rPr>
        <w:t xml:space="preserve">5. Discussions during the conference suggested that some matters should be brought to the attention of the IMO, such as the concept of </w:t>
      </w:r>
      <w:proofErr w:type="spellStart"/>
      <w:r w:rsidRPr="001678C9">
        <w:rPr>
          <w:rFonts w:asciiTheme="minorHAnsi" w:hAnsiTheme="minorHAnsi" w:cstheme="minorHAnsi"/>
          <w:color w:val="010101"/>
          <w:lang w:eastAsia="ko-KR"/>
        </w:rPr>
        <w:t>Digital@Sea</w:t>
      </w:r>
      <w:proofErr w:type="spellEnd"/>
      <w:r w:rsidRPr="001678C9">
        <w:rPr>
          <w:rFonts w:asciiTheme="minorHAnsi" w:hAnsiTheme="minorHAnsi" w:cstheme="minorHAnsi"/>
          <w:color w:val="010101"/>
          <w:lang w:eastAsia="ko-KR"/>
        </w:rPr>
        <w:t xml:space="preserve"> Initiative, with the aim of providing an opportunity for more countries to participate in global e-navigation development. </w:t>
      </w:r>
    </w:p>
    <w:p w14:paraId="4BE234D7" w14:textId="77777777" w:rsidR="001678C9" w:rsidRPr="001678C9" w:rsidRDefault="001678C9" w:rsidP="001678C9">
      <w:pPr>
        <w:spacing w:line="360" w:lineRule="auto"/>
        <w:jc w:val="both"/>
        <w:rPr>
          <w:rFonts w:asciiTheme="minorHAnsi" w:hAnsiTheme="minorHAnsi" w:cstheme="minorHAnsi"/>
          <w:color w:val="010101"/>
          <w:lang w:eastAsia="ko-KR"/>
        </w:rPr>
      </w:pPr>
    </w:p>
    <w:p w14:paraId="2187F312" w14:textId="77777777" w:rsidR="001678C9" w:rsidRPr="001678C9" w:rsidRDefault="001678C9" w:rsidP="004229DB">
      <w:pPr>
        <w:pStyle w:val="BodyText"/>
        <w:rPr>
          <w:rFonts w:asciiTheme="minorHAnsi" w:hAnsiTheme="minorHAnsi" w:cstheme="minorHAnsi"/>
          <w:lang w:eastAsia="ko-KR"/>
        </w:rPr>
      </w:pPr>
    </w:p>
    <w:sectPr w:rsidR="001678C9" w:rsidRPr="001678C9"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9B208" w14:textId="77777777" w:rsidR="004171F9" w:rsidRDefault="004171F9" w:rsidP="00362CD9">
      <w:r>
        <w:separator/>
      </w:r>
    </w:p>
  </w:endnote>
  <w:endnote w:type="continuationSeparator" w:id="0">
    <w:p w14:paraId="6760C90D" w14:textId="77777777" w:rsidR="004171F9" w:rsidRDefault="004171F9" w:rsidP="00362CD9">
      <w:r>
        <w:continuationSeparator/>
      </w:r>
    </w:p>
  </w:endnote>
  <w:endnote w:type="continuationNotice" w:id="1">
    <w:p w14:paraId="3B830C93" w14:textId="77777777" w:rsidR="004171F9" w:rsidRDefault="004171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modern"/>
    <w:pitch w:val="variable"/>
    <w:sig w:usb0="B00002AF" w:usb1="69D77CFB" w:usb2="00000030" w:usb3="00000000" w:csb0="0008009F" w:csb1="00000000"/>
  </w:font>
  <w:font w:name="Arial Unicode MS">
    <w:panose1 w:val="020B0604020202020204"/>
    <w:charset w:val="81"/>
    <w:family w:val="modern"/>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504999A"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2B742D">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874B8" w14:textId="77777777" w:rsidR="004171F9" w:rsidRDefault="004171F9" w:rsidP="00362CD9">
      <w:r>
        <w:separator/>
      </w:r>
    </w:p>
  </w:footnote>
  <w:footnote w:type="continuationSeparator" w:id="0">
    <w:p w14:paraId="7702DCCC" w14:textId="77777777" w:rsidR="004171F9" w:rsidRDefault="004171F9" w:rsidP="00362CD9">
      <w:r>
        <w:continuationSeparator/>
      </w:r>
    </w:p>
  </w:footnote>
  <w:footnote w:type="continuationNotice" w:id="1">
    <w:p w14:paraId="1F1C04AA" w14:textId="77777777" w:rsidR="004171F9" w:rsidRDefault="004171F9"/>
  </w:footnote>
  <w:footnote w:id="2">
    <w:p w14:paraId="741FE09C" w14:textId="19959E52" w:rsidR="00624475" w:rsidRPr="00EA5A97" w:rsidRDefault="00624475">
      <w:pPr>
        <w:pStyle w:val="FootnoteText"/>
        <w:rPr>
          <w:lang w:val="en-US"/>
        </w:rPr>
      </w:pPr>
    </w:p>
  </w:footnote>
  <w:footnote w:id="3">
    <w:p w14:paraId="13DFA22D" w14:textId="17866AAB" w:rsidR="00624475" w:rsidRPr="00037DF4" w:rsidRDefault="0062447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73404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lang w:val="en-US" w:eastAsia="ko-KR"/>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3404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73404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DC7EA8"/>
    <w:multiLevelType w:val="hybridMultilevel"/>
    <w:tmpl w:val="8F88F474"/>
    <w:lvl w:ilvl="0" w:tplc="4CD033CA">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5"/>
  </w:num>
  <w:num w:numId="4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ko-KR" w:vendorID="64" w:dllVersion="5" w:nlCheck="1" w:checkStyle="1"/>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25AAF"/>
    <w:rsid w:val="00146E5F"/>
    <w:rsid w:val="001678C9"/>
    <w:rsid w:val="00177F4D"/>
    <w:rsid w:val="00180DDA"/>
    <w:rsid w:val="001B2A2D"/>
    <w:rsid w:val="001B737D"/>
    <w:rsid w:val="001C44A3"/>
    <w:rsid w:val="001E0E15"/>
    <w:rsid w:val="001F528A"/>
    <w:rsid w:val="001F704E"/>
    <w:rsid w:val="00201722"/>
    <w:rsid w:val="002125B0"/>
    <w:rsid w:val="00230EF0"/>
    <w:rsid w:val="00232CF1"/>
    <w:rsid w:val="00243228"/>
    <w:rsid w:val="00243B59"/>
    <w:rsid w:val="00251483"/>
    <w:rsid w:val="00255CAA"/>
    <w:rsid w:val="00264305"/>
    <w:rsid w:val="002808CD"/>
    <w:rsid w:val="002A0346"/>
    <w:rsid w:val="002A4487"/>
    <w:rsid w:val="002B49E9"/>
    <w:rsid w:val="002B742D"/>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171F9"/>
    <w:rsid w:val="00420A38"/>
    <w:rsid w:val="004229DB"/>
    <w:rsid w:val="00431B19"/>
    <w:rsid w:val="00456AAC"/>
    <w:rsid w:val="004661AD"/>
    <w:rsid w:val="004A6C1D"/>
    <w:rsid w:val="004B1D61"/>
    <w:rsid w:val="004D1D85"/>
    <w:rsid w:val="004D3C3A"/>
    <w:rsid w:val="004E1CD1"/>
    <w:rsid w:val="004F7EFC"/>
    <w:rsid w:val="005107EB"/>
    <w:rsid w:val="005138DE"/>
    <w:rsid w:val="00521345"/>
    <w:rsid w:val="00526DF0"/>
    <w:rsid w:val="00545CC4"/>
    <w:rsid w:val="00551FFF"/>
    <w:rsid w:val="00553B87"/>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420C5"/>
    <w:rsid w:val="006652C3"/>
    <w:rsid w:val="00691FD0"/>
    <w:rsid w:val="00692148"/>
    <w:rsid w:val="006A1A1E"/>
    <w:rsid w:val="006C5948"/>
    <w:rsid w:val="006F2A74"/>
    <w:rsid w:val="006F3FA2"/>
    <w:rsid w:val="007000D4"/>
    <w:rsid w:val="007118F5"/>
    <w:rsid w:val="00712AA4"/>
    <w:rsid w:val="007146C4"/>
    <w:rsid w:val="00721AA1"/>
    <w:rsid w:val="00721C85"/>
    <w:rsid w:val="00724B67"/>
    <w:rsid w:val="00726459"/>
    <w:rsid w:val="007547F8"/>
    <w:rsid w:val="00765622"/>
    <w:rsid w:val="00766EFE"/>
    <w:rsid w:val="00770B6C"/>
    <w:rsid w:val="00783FEA"/>
    <w:rsid w:val="007A395D"/>
    <w:rsid w:val="007B6BD5"/>
    <w:rsid w:val="007C346C"/>
    <w:rsid w:val="007D0EC7"/>
    <w:rsid w:val="007E6479"/>
    <w:rsid w:val="0080294B"/>
    <w:rsid w:val="0082480E"/>
    <w:rsid w:val="00832192"/>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8F2640"/>
    <w:rsid w:val="0092692B"/>
    <w:rsid w:val="00930561"/>
    <w:rsid w:val="00943E9C"/>
    <w:rsid w:val="00953F4D"/>
    <w:rsid w:val="00960BB8"/>
    <w:rsid w:val="00964F5C"/>
    <w:rsid w:val="00973B57"/>
    <w:rsid w:val="00975900"/>
    <w:rsid w:val="009831C0"/>
    <w:rsid w:val="0099161D"/>
    <w:rsid w:val="00A0389B"/>
    <w:rsid w:val="00A33A3C"/>
    <w:rsid w:val="00A42D3C"/>
    <w:rsid w:val="00A446C9"/>
    <w:rsid w:val="00A635D6"/>
    <w:rsid w:val="00A8553A"/>
    <w:rsid w:val="00A93AED"/>
    <w:rsid w:val="00AE1319"/>
    <w:rsid w:val="00AE34BB"/>
    <w:rsid w:val="00AE5D1B"/>
    <w:rsid w:val="00AF2AE3"/>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2D54"/>
    <w:rsid w:val="00C6171E"/>
    <w:rsid w:val="00CA6F2C"/>
    <w:rsid w:val="00CD6A13"/>
    <w:rsid w:val="00CF1871"/>
    <w:rsid w:val="00D01874"/>
    <w:rsid w:val="00D019CE"/>
    <w:rsid w:val="00D1133E"/>
    <w:rsid w:val="00D17A34"/>
    <w:rsid w:val="00D24EC3"/>
    <w:rsid w:val="00D26628"/>
    <w:rsid w:val="00D332B3"/>
    <w:rsid w:val="00D423A5"/>
    <w:rsid w:val="00D46677"/>
    <w:rsid w:val="00D55207"/>
    <w:rsid w:val="00D81801"/>
    <w:rsid w:val="00D92B45"/>
    <w:rsid w:val="00D95962"/>
    <w:rsid w:val="00DC389B"/>
    <w:rsid w:val="00DE2FEE"/>
    <w:rsid w:val="00DF1467"/>
    <w:rsid w:val="00DF2A82"/>
    <w:rsid w:val="00E00BE9"/>
    <w:rsid w:val="00E2047F"/>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32419307-9103-43CC-BDA7-6BCEA989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243B59"/>
    <w:rPr>
      <w:b/>
      <w:bCs/>
      <w:sz w:val="20"/>
      <w:szCs w:val="20"/>
    </w:rPr>
  </w:style>
  <w:style w:type="paragraph" w:customStyle="1" w:styleId="a">
    <w:name w:val="바탕글"/>
    <w:basedOn w:val="Normal"/>
    <w:rsid w:val="00E2047F"/>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6876442">
      <w:bodyDiv w:val="1"/>
      <w:marLeft w:val="0"/>
      <w:marRight w:val="0"/>
      <w:marTop w:val="0"/>
      <w:marBottom w:val="0"/>
      <w:divBdr>
        <w:top w:val="none" w:sz="0" w:space="0" w:color="auto"/>
        <w:left w:val="none" w:sz="0" w:space="0" w:color="auto"/>
        <w:bottom w:val="none" w:sz="0" w:space="0" w:color="auto"/>
        <w:right w:val="none" w:sz="0" w:space="0" w:color="auto"/>
      </w:divBdr>
    </w:div>
    <w:div w:id="1403942068">
      <w:bodyDiv w:val="1"/>
      <w:marLeft w:val="0"/>
      <w:marRight w:val="0"/>
      <w:marTop w:val="0"/>
      <w:marBottom w:val="0"/>
      <w:divBdr>
        <w:top w:val="none" w:sz="0" w:space="0" w:color="auto"/>
        <w:left w:val="none" w:sz="0" w:space="0" w:color="auto"/>
        <w:bottom w:val="none" w:sz="0" w:space="0" w:color="auto"/>
        <w:right w:val="none" w:sz="0" w:space="0" w:color="auto"/>
      </w:divBdr>
    </w:div>
    <w:div w:id="1420755476">
      <w:bodyDiv w:val="1"/>
      <w:marLeft w:val="0"/>
      <w:marRight w:val="0"/>
      <w:marTop w:val="0"/>
      <w:marBottom w:val="0"/>
      <w:divBdr>
        <w:top w:val="none" w:sz="0" w:space="0" w:color="auto"/>
        <w:left w:val="none" w:sz="0" w:space="0" w:color="auto"/>
        <w:bottom w:val="none" w:sz="0" w:space="0" w:color="auto"/>
        <w:right w:val="none" w:sz="0" w:space="0" w:color="auto"/>
      </w:divBdr>
    </w:div>
    <w:div w:id="1787194028">
      <w:bodyDiv w:val="1"/>
      <w:marLeft w:val="0"/>
      <w:marRight w:val="0"/>
      <w:marTop w:val="0"/>
      <w:marBottom w:val="0"/>
      <w:divBdr>
        <w:top w:val="none" w:sz="0" w:space="0" w:color="auto"/>
        <w:left w:val="none" w:sz="0" w:space="0" w:color="auto"/>
        <w:bottom w:val="none" w:sz="0" w:space="0" w:color="auto"/>
        <w:right w:val="none" w:sz="0" w:space="0" w:color="auto"/>
      </w:divBdr>
    </w:div>
    <w:div w:id="1935629773">
      <w:bodyDiv w:val="1"/>
      <w:marLeft w:val="0"/>
      <w:marRight w:val="0"/>
      <w:marTop w:val="0"/>
      <w:marBottom w:val="0"/>
      <w:divBdr>
        <w:top w:val="none" w:sz="0" w:space="0" w:color="auto"/>
        <w:left w:val="none" w:sz="0" w:space="0" w:color="auto"/>
        <w:bottom w:val="none" w:sz="0" w:space="0" w:color="auto"/>
        <w:right w:val="none" w:sz="0" w:space="0" w:color="auto"/>
      </w:divBdr>
      <w:divsChild>
        <w:div w:id="1296983197">
          <w:marLeft w:val="-225"/>
          <w:marRight w:val="-225"/>
          <w:marTop w:val="0"/>
          <w:marBottom w:val="0"/>
          <w:divBdr>
            <w:top w:val="none" w:sz="0" w:space="0" w:color="auto"/>
            <w:left w:val="none" w:sz="0" w:space="0" w:color="auto"/>
            <w:bottom w:val="none" w:sz="0" w:space="0" w:color="auto"/>
            <w:right w:val="none" w:sz="0" w:space="0" w:color="auto"/>
          </w:divBdr>
          <w:divsChild>
            <w:div w:id="2103064594">
              <w:marLeft w:val="0"/>
              <w:marRight w:val="0"/>
              <w:marTop w:val="0"/>
              <w:marBottom w:val="0"/>
              <w:divBdr>
                <w:top w:val="none" w:sz="0" w:space="0" w:color="auto"/>
                <w:left w:val="none" w:sz="0" w:space="0" w:color="auto"/>
                <w:bottom w:val="none" w:sz="0" w:space="0" w:color="auto"/>
                <w:right w:val="none" w:sz="0" w:space="0" w:color="auto"/>
              </w:divBdr>
            </w:div>
            <w:div w:id="37042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BB4B1E-CBE1-4478-9396-DD1E14CFD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933</Words>
  <Characters>5320</Characters>
  <Application>Microsoft Office Word</Application>
  <DocSecurity>0</DocSecurity>
  <Lines>44</Lines>
  <Paragraphs>12</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18</cp:revision>
  <cp:lastPrinted>2020-09-25T00:36:00Z</cp:lastPrinted>
  <dcterms:created xsi:type="dcterms:W3CDTF">2020-09-22T08:27:00Z</dcterms:created>
  <dcterms:modified xsi:type="dcterms:W3CDTF">2020-09-25T12:54:00Z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